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b/>
          <w:sz w:val="40"/>
        </w:rPr>
        <w:t>LES ABEILLES DE SAINT-GÉRARD</w:t>
      </w:r>
    </w:p>
    <w:p>
      <w:pPr>
        <w:pStyle w:val="Normal"/>
        <w:jc w:val="center"/>
        <w:rPr/>
      </w:pPr>
      <w:r>
        <w:rPr>
          <w:b/>
          <w:sz w:val="30"/>
        </w:rPr>
        <w:t>FICHE TECHNIQUE – MIEL</w:t>
      </w:r>
    </w:p>
    <w:p>
      <w:pPr>
        <w:pStyle w:val="Normal"/>
        <w:jc w:val="center"/>
        <w:rPr/>
      </w:pPr>
      <w:r>
        <w:rPr>
          <w:i/>
        </w:rPr>
        <w:t>Apiculture locale – Saint-Gérard, Belgique</w:t>
      </w:r>
    </w:p>
    <w:p>
      <w:pPr>
        <w:pStyle w:val="Normal"/>
        <w:rPr/>
      </w:pPr>
      <w:r>
        <w:rPr>
          <w:b/>
          <w:sz w:val="24"/>
        </w:rPr>
        <w:t>1. Identification du produit</w:t>
      </w:r>
    </w:p>
    <w:tbl>
      <w:tblPr>
        <w:tblStyle w:val="TableGrid"/>
        <w:tblW w:w="10200"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5100"/>
        <w:gridCol w:w="5100"/>
      </w:tblGrid>
      <w:tr>
        <w:trPr/>
        <w:tc>
          <w:tcPr>
            <w:tcW w:w="5100" w:type="dxa"/>
            <w:tcBorders/>
            <w:vAlign w:val="center"/>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b/>
                <w:kern w:val="0"/>
                <w:sz w:val="22"/>
                <w:szCs w:val="22"/>
                <w:lang w:val="en-US" w:eastAsia="en-US" w:bidi="ar-SA"/>
              </w:rPr>
              <w:t>Dénomination</w:t>
            </w:r>
          </w:p>
        </w:tc>
        <w:tc>
          <w:tcPr>
            <w:tcW w:w="5100" w:type="dxa"/>
            <w:tcBorders/>
            <w:vAlign w:val="center"/>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kern w:val="0"/>
                <w:sz w:val="22"/>
                <w:szCs w:val="22"/>
                <w:lang w:val="en-US" w:eastAsia="en-US" w:bidi="ar-SA"/>
              </w:rPr>
              <w:t>Miel</w:t>
            </w:r>
          </w:p>
        </w:tc>
      </w:tr>
      <w:tr>
        <w:trPr/>
        <w:tc>
          <w:tcPr>
            <w:tcW w:w="5100" w:type="dxa"/>
            <w:tcBorders/>
            <w:vAlign w:val="center"/>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b/>
                <w:kern w:val="0"/>
                <w:sz w:val="22"/>
                <w:szCs w:val="22"/>
                <w:lang w:val="en-US" w:eastAsia="en-US" w:bidi="ar-SA"/>
              </w:rPr>
              <w:t>Variétés proposées</w:t>
            </w:r>
          </w:p>
        </w:tc>
        <w:tc>
          <w:tcPr>
            <w:tcW w:w="5100" w:type="dxa"/>
            <w:tcBorders/>
            <w:vAlign w:val="center"/>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kern w:val="0"/>
                <w:sz w:val="22"/>
                <w:szCs w:val="22"/>
                <w:lang w:val="en-US" w:eastAsia="en-US" w:bidi="ar-SA"/>
              </w:rPr>
              <w:t>Miel de printemps / Miel d’été</w:t>
            </w:r>
          </w:p>
        </w:tc>
      </w:tr>
      <w:tr>
        <w:trPr/>
        <w:tc>
          <w:tcPr>
            <w:tcW w:w="5100" w:type="dxa"/>
            <w:tcBorders/>
            <w:vAlign w:val="center"/>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b/>
                <w:kern w:val="0"/>
                <w:sz w:val="22"/>
                <w:szCs w:val="22"/>
                <w:lang w:val="en-US" w:eastAsia="en-US" w:bidi="ar-SA"/>
              </w:rPr>
              <w:t>Origine</w:t>
            </w:r>
          </w:p>
        </w:tc>
        <w:tc>
          <w:tcPr>
            <w:tcW w:w="5100" w:type="dxa"/>
            <w:tcBorders/>
            <w:vAlign w:val="center"/>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kern w:val="0"/>
                <w:sz w:val="22"/>
                <w:szCs w:val="22"/>
                <w:lang w:val="en-US" w:eastAsia="en-US" w:bidi="ar-SA"/>
              </w:rPr>
              <w:t>Belgique – Saint-Gérard</w:t>
            </w:r>
          </w:p>
        </w:tc>
      </w:tr>
      <w:tr>
        <w:trPr/>
        <w:tc>
          <w:tcPr>
            <w:tcW w:w="5100" w:type="dxa"/>
            <w:tcBorders/>
            <w:vAlign w:val="center"/>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b/>
                <w:kern w:val="0"/>
                <w:sz w:val="22"/>
                <w:szCs w:val="22"/>
                <w:lang w:val="en-US" w:eastAsia="en-US" w:bidi="ar-SA"/>
              </w:rPr>
              <w:t>Producteur</w:t>
            </w:r>
          </w:p>
        </w:tc>
        <w:tc>
          <w:tcPr>
            <w:tcW w:w="5100" w:type="dxa"/>
            <w:tcBorders/>
            <w:vAlign w:val="center"/>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kern w:val="0"/>
                <w:sz w:val="22"/>
                <w:szCs w:val="22"/>
                <w:lang w:val="en-US" w:eastAsia="en-US" w:bidi="ar-SA"/>
              </w:rPr>
              <w:t>Les Abeilles de Saint-Gérard</w:t>
            </w:r>
          </w:p>
        </w:tc>
      </w:tr>
      <w:tr>
        <w:trPr/>
        <w:tc>
          <w:tcPr>
            <w:tcW w:w="5100" w:type="dxa"/>
            <w:tcBorders/>
            <w:vAlign w:val="center"/>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b/>
                <w:kern w:val="0"/>
                <w:sz w:val="22"/>
                <w:szCs w:val="22"/>
                <w:lang w:val="en-US" w:eastAsia="en-US" w:bidi="ar-SA"/>
              </w:rPr>
              <w:t>Conditionnement</w:t>
            </w:r>
          </w:p>
        </w:tc>
        <w:tc>
          <w:tcPr>
            <w:tcW w:w="5100" w:type="dxa"/>
            <w:tcBorders/>
            <w:vAlign w:val="center"/>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kern w:val="0"/>
                <w:sz w:val="22"/>
                <w:szCs w:val="22"/>
                <w:lang w:val="en-US" w:eastAsia="en-US" w:bidi="ar-SA"/>
              </w:rPr>
              <w:t>Pot de 500 g</w:t>
            </w:r>
          </w:p>
        </w:tc>
      </w:tr>
      <w:tr>
        <w:trPr/>
        <w:tc>
          <w:tcPr>
            <w:tcW w:w="5100" w:type="dxa"/>
            <w:tcBorders/>
            <w:vAlign w:val="center"/>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b/>
                <w:kern w:val="0"/>
                <w:sz w:val="22"/>
                <w:szCs w:val="22"/>
                <w:lang w:val="en-US" w:eastAsia="en-US" w:bidi="ar-SA"/>
              </w:rPr>
              <w:t>Composition</w:t>
            </w:r>
          </w:p>
        </w:tc>
        <w:tc>
          <w:tcPr>
            <w:tcW w:w="5100" w:type="dxa"/>
            <w:tcBorders/>
            <w:vAlign w:val="center"/>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kern w:val="0"/>
                <w:sz w:val="22"/>
                <w:szCs w:val="22"/>
                <w:lang w:val="en-US" w:eastAsia="en-US" w:bidi="ar-SA"/>
              </w:rPr>
              <w:t>100 % miel</w:t>
            </w:r>
          </w:p>
        </w:tc>
      </w:tr>
      <w:tr>
        <w:trPr/>
        <w:tc>
          <w:tcPr>
            <w:tcW w:w="5100" w:type="dxa"/>
            <w:tcBorders/>
            <w:vAlign w:val="center"/>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b/>
                <w:kern w:val="0"/>
                <w:sz w:val="22"/>
                <w:szCs w:val="22"/>
                <w:lang w:val="en-US" w:eastAsia="en-US" w:bidi="ar-SA"/>
              </w:rPr>
              <w:t>Activité apicole</w:t>
            </w:r>
          </w:p>
        </w:tc>
        <w:tc>
          <w:tcPr>
            <w:tcW w:w="5100" w:type="dxa"/>
            <w:tcBorders/>
            <w:vAlign w:val="center"/>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kern w:val="0"/>
                <w:sz w:val="22"/>
                <w:szCs w:val="22"/>
                <w:lang w:val="en-US" w:eastAsia="en-US" w:bidi="ar-SA"/>
              </w:rPr>
              <w:t>Apiculteur à Saint-Gérard depuis 2014</w:t>
            </w:r>
          </w:p>
        </w:tc>
      </w:tr>
    </w:tbl>
    <w:p>
      <w:pPr>
        <w:pStyle w:val="Normal"/>
        <w:rPr/>
      </w:pPr>
      <w:r>
        <w:rPr>
          <w:b/>
          <w:sz w:val="24"/>
        </w:rPr>
        <w:t>2. Description</w:t>
      </w:r>
    </w:p>
    <w:p>
      <w:pPr>
        <w:pStyle w:val="Normal"/>
        <w:rPr/>
      </w:pPr>
      <w:r>
        <w:rPr/>
        <w:t>Le miel est une denrée alimentaire naturelle produite par les abeilles à partir du nectar des fleurs et/ou des sécrétions végétales, puis transformée et stockée dans les rayons de la ruche. Les caractéristiques de couleur, d’arôme, de saveur et de cristallisation peuvent varier naturellement selon la floraison et la récolte.Il ne contient ni conservateur, ni colorant, ni additif et aucun arôme ajouté.</w:t>
      </w:r>
    </w:p>
    <w:p>
      <w:pPr>
        <w:pStyle w:val="Normal"/>
        <w:rPr/>
      </w:pPr>
      <w:r>
        <w:rPr>
          <w:b/>
          <w:sz w:val="24"/>
        </w:rPr>
        <w:t>3. Caractéristiques organoleptiques</w:t>
      </w:r>
    </w:p>
    <w:tbl>
      <w:tblPr>
        <w:tblStyle w:val="TableGrid"/>
        <w:tblW w:w="10200"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5100"/>
        <w:gridCol w:w="5100"/>
      </w:tblGrid>
      <w:tr>
        <w:trPr/>
        <w:tc>
          <w:tcPr>
            <w:tcW w:w="5100" w:type="dxa"/>
            <w:tcBorders/>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b/>
                <w:kern w:val="0"/>
                <w:sz w:val="22"/>
                <w:szCs w:val="22"/>
                <w:lang w:val="en-US" w:eastAsia="en-US" w:bidi="ar-SA"/>
              </w:rPr>
              <w:t>Aspect</w:t>
            </w:r>
          </w:p>
        </w:tc>
        <w:tc>
          <w:tcPr>
            <w:tcW w:w="5100" w:type="dxa"/>
            <w:tcBorders/>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kern w:val="0"/>
                <w:sz w:val="22"/>
                <w:szCs w:val="22"/>
                <w:lang w:val="en-US" w:eastAsia="en-US" w:bidi="ar-SA"/>
              </w:rPr>
              <w:t>Liquide, crémeux ou cristallisé selon l’origine et l’évolution naturelle du miel.</w:t>
            </w:r>
          </w:p>
        </w:tc>
      </w:tr>
      <w:tr>
        <w:trPr/>
        <w:tc>
          <w:tcPr>
            <w:tcW w:w="5100" w:type="dxa"/>
            <w:tcBorders/>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b/>
                <w:kern w:val="0"/>
                <w:sz w:val="22"/>
                <w:szCs w:val="22"/>
                <w:lang w:val="en-US" w:eastAsia="en-US" w:bidi="ar-SA"/>
              </w:rPr>
              <w:t>Couleur</w:t>
            </w:r>
          </w:p>
        </w:tc>
        <w:tc>
          <w:tcPr>
            <w:tcW w:w="5100" w:type="dxa"/>
            <w:tcBorders/>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kern w:val="0"/>
                <w:sz w:val="22"/>
                <w:szCs w:val="22"/>
                <w:lang w:val="en-US" w:eastAsia="en-US" w:bidi="ar-SA"/>
              </w:rPr>
              <w:t>Variable selon la récolte et les floraisons, de claire à plus foncée.</w:t>
            </w:r>
          </w:p>
        </w:tc>
      </w:tr>
      <w:tr>
        <w:trPr/>
        <w:tc>
          <w:tcPr>
            <w:tcW w:w="5100" w:type="dxa"/>
            <w:tcBorders/>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b/>
                <w:kern w:val="0"/>
                <w:sz w:val="22"/>
                <w:szCs w:val="22"/>
                <w:lang w:val="en-US" w:eastAsia="en-US" w:bidi="ar-SA"/>
              </w:rPr>
              <w:t>Arôme</w:t>
            </w:r>
          </w:p>
        </w:tc>
        <w:tc>
          <w:tcPr>
            <w:tcW w:w="5100" w:type="dxa"/>
            <w:tcBorders/>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kern w:val="0"/>
                <w:sz w:val="22"/>
                <w:szCs w:val="22"/>
                <w:lang w:val="en-US" w:eastAsia="en-US" w:bidi="ar-SA"/>
              </w:rPr>
              <w:t>Typique du miel, avec des nuances florales variables.</w:t>
            </w:r>
          </w:p>
        </w:tc>
      </w:tr>
      <w:tr>
        <w:trPr/>
        <w:tc>
          <w:tcPr>
            <w:tcW w:w="5100" w:type="dxa"/>
            <w:tcBorders/>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b/>
                <w:kern w:val="0"/>
                <w:sz w:val="22"/>
                <w:szCs w:val="22"/>
                <w:lang w:val="en-US" w:eastAsia="en-US" w:bidi="ar-SA"/>
              </w:rPr>
              <w:t>Saveur</w:t>
            </w:r>
          </w:p>
        </w:tc>
        <w:tc>
          <w:tcPr>
            <w:tcW w:w="5100" w:type="dxa"/>
            <w:tcBorders/>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kern w:val="0"/>
                <w:sz w:val="22"/>
                <w:szCs w:val="22"/>
                <w:lang w:val="en-US" w:eastAsia="en-US" w:bidi="ar-SA"/>
              </w:rPr>
              <w:t>Douce, aromatique et caractéristique de la récolte.</w:t>
            </w:r>
          </w:p>
        </w:tc>
      </w:tr>
      <w:tr>
        <w:trPr/>
        <w:tc>
          <w:tcPr>
            <w:tcW w:w="5100" w:type="dxa"/>
            <w:tcBorders/>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b/>
                <w:kern w:val="0"/>
                <w:sz w:val="22"/>
                <w:szCs w:val="22"/>
                <w:lang w:val="en-US" w:eastAsia="en-US" w:bidi="ar-SA"/>
              </w:rPr>
              <w:t>Texture</w:t>
            </w:r>
          </w:p>
        </w:tc>
        <w:tc>
          <w:tcPr>
            <w:tcW w:w="5100" w:type="dxa"/>
            <w:tcBorders/>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kern w:val="0"/>
                <w:sz w:val="22"/>
                <w:szCs w:val="22"/>
                <w:lang w:val="en-US" w:eastAsia="en-US" w:bidi="ar-SA"/>
              </w:rPr>
              <w:t>Variable selon la cristallisation naturelle.</w:t>
            </w:r>
          </w:p>
        </w:tc>
      </w:tr>
    </w:tbl>
    <w:p>
      <w:pPr>
        <w:pStyle w:val="Normal"/>
        <w:rPr/>
      </w:pPr>
      <w:r>
        <w:rPr>
          <w:b/>
          <w:sz w:val="24"/>
        </w:rPr>
        <w:t>4. Composition</w:t>
      </w:r>
    </w:p>
    <w:p>
      <w:pPr>
        <w:pStyle w:val="Normal"/>
        <w:rPr/>
      </w:pPr>
      <w:r>
        <w:rPr/>
        <w:t>Ingrédient : 100 % de miel</w:t>
      </w:r>
    </w:p>
    <w:p>
      <w:pPr>
        <w:pStyle w:val="Normal"/>
        <w:rPr/>
      </w:pPr>
      <w:r>
        <w:rPr/>
        <w:t>Origine : BELGIQUE</w:t>
      </w:r>
    </w:p>
    <w:p>
      <w:pPr>
        <w:pStyle w:val="Normal"/>
        <w:rPr/>
      </w:pPr>
      <w:r>
        <w:rPr>
          <w:b/>
          <w:sz w:val="24"/>
        </w:rPr>
        <w:t>5. Allergènes et OGM</w:t>
      </w:r>
    </w:p>
    <w:p>
      <w:pPr>
        <w:pStyle w:val="Normal"/>
        <w:rPr/>
      </w:pPr>
      <w:r>
        <w:rPr/>
        <w:t>Aucun ingrédient ajouté.</w:t>
      </w:r>
    </w:p>
    <w:p>
      <w:pPr>
        <w:pStyle w:val="Normal"/>
        <w:rPr/>
      </w:pPr>
      <w:r>
        <w:rPr/>
        <w:t>Le miel est naturellement produit par les abeilles.</w:t>
      </w:r>
    </w:p>
    <w:p>
      <w:pPr>
        <w:pStyle w:val="Normal"/>
        <w:rPr/>
      </w:pPr>
      <w:r>
        <w:rPr/>
        <w:t>Absence d’ajout d’OGM.</w:t>
      </w:r>
    </w:p>
    <w:p>
      <w:pPr>
        <w:pStyle w:val="Normal"/>
        <w:rPr/>
      </w:pPr>
      <w:r>
        <w:rPr>
          <w:b/>
          <w:sz w:val="24"/>
        </w:rPr>
        <w:t>6. Conservation</w:t>
      </w:r>
    </w:p>
    <w:p>
      <w:pPr>
        <w:pStyle w:val="ListBullet"/>
        <w:numPr>
          <w:ilvl w:val="0"/>
          <w:numId w:val="1"/>
        </w:numPr>
        <w:rPr/>
      </w:pPr>
      <w:r>
        <w:rPr/>
        <w:t>Conserver à température ambiante, dans un endroit sec et à l’abri de la lumière.</w:t>
      </w:r>
    </w:p>
    <w:p>
      <w:pPr>
        <w:pStyle w:val="ListBullet"/>
        <w:numPr>
          <w:ilvl w:val="0"/>
          <w:numId w:val="1"/>
        </w:numPr>
        <w:rPr/>
      </w:pPr>
      <w:r>
        <w:rPr/>
        <w:t>Refermer soigneusement le pot après utilisation.</w:t>
      </w:r>
    </w:p>
    <w:p>
      <w:pPr>
        <w:pStyle w:val="ListBullet"/>
        <w:numPr>
          <w:ilvl w:val="0"/>
          <w:numId w:val="1"/>
        </w:numPr>
        <w:rPr/>
      </w:pPr>
      <w:r>
        <w:rPr/>
        <w:t>Une cristallisation peut apparaître naturellement et ne constitue pas une altération du produit.</w:t>
      </w:r>
    </w:p>
    <w:p>
      <w:pPr>
        <w:pStyle w:val="ListBullet"/>
        <w:numPr>
          <w:ilvl w:val="0"/>
          <w:numId w:val="1"/>
        </w:numPr>
        <w:rPr/>
      </w:pPr>
      <w:r>
        <w:rPr/>
        <w:t>Éviter les températures élevées afin de préserver au mieux les qualités naturelles du miel.</w:t>
      </w:r>
    </w:p>
    <w:p>
      <w:pPr>
        <w:pStyle w:val="Normal"/>
        <w:rPr/>
      </w:pPr>
      <w:r>
        <w:rPr>
          <w:b/>
          <w:sz w:val="24"/>
        </w:rPr>
        <w:t>7. Traçabilité et conditionnement</w:t>
      </w:r>
    </w:p>
    <w:tbl>
      <w:tblPr>
        <w:tblStyle w:val="TableGrid"/>
        <w:tblW w:w="10200"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5100"/>
        <w:gridCol w:w="5100"/>
      </w:tblGrid>
      <w:tr>
        <w:trPr/>
        <w:tc>
          <w:tcPr>
            <w:tcW w:w="5100" w:type="dxa"/>
            <w:tcBorders/>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b/>
                <w:kern w:val="0"/>
                <w:sz w:val="22"/>
                <w:szCs w:val="22"/>
                <w:lang w:val="en-US" w:eastAsia="en-US" w:bidi="ar-SA"/>
              </w:rPr>
              <w:t>Poids net</w:t>
            </w:r>
          </w:p>
        </w:tc>
        <w:tc>
          <w:tcPr>
            <w:tcW w:w="5100" w:type="dxa"/>
            <w:tcBorders/>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kern w:val="0"/>
                <w:sz w:val="22"/>
                <w:szCs w:val="22"/>
                <w:lang w:val="en-US" w:eastAsia="en-US" w:bidi="ar-SA"/>
              </w:rPr>
              <w:t>500 g</w:t>
            </w:r>
          </w:p>
        </w:tc>
      </w:tr>
      <w:tr>
        <w:trPr/>
        <w:tc>
          <w:tcPr>
            <w:tcW w:w="5100" w:type="dxa"/>
            <w:tcBorders/>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b/>
                <w:kern w:val="0"/>
                <w:sz w:val="22"/>
                <w:szCs w:val="22"/>
                <w:lang w:val="en-US" w:eastAsia="en-US" w:bidi="ar-SA"/>
              </w:rPr>
              <w:t>N° de lot</w:t>
            </w:r>
          </w:p>
        </w:tc>
        <w:tc>
          <w:tcPr>
            <w:tcW w:w="5100" w:type="dxa"/>
            <w:tcBorders/>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kern w:val="0"/>
                <w:sz w:val="22"/>
                <w:szCs w:val="22"/>
                <w:lang w:val="en-US" w:eastAsia="en-US" w:bidi="ar-SA"/>
              </w:rPr>
              <w:t>À renseigner sur le conditionnement</w:t>
            </w:r>
          </w:p>
        </w:tc>
      </w:tr>
      <w:tr>
        <w:trPr/>
        <w:tc>
          <w:tcPr>
            <w:tcW w:w="5100" w:type="dxa"/>
            <w:tcBorders/>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b/>
                <w:kern w:val="0"/>
                <w:sz w:val="22"/>
                <w:szCs w:val="22"/>
                <w:lang w:val="en-US" w:eastAsia="en-US" w:bidi="ar-SA"/>
              </w:rPr>
              <w:t>DDM</w:t>
            </w:r>
          </w:p>
        </w:tc>
        <w:tc>
          <w:tcPr>
            <w:tcW w:w="5100" w:type="dxa"/>
            <w:tcBorders/>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kern w:val="0"/>
                <w:sz w:val="22"/>
                <w:szCs w:val="22"/>
                <w:lang w:val="en-US" w:eastAsia="en-US" w:bidi="ar-SA"/>
              </w:rPr>
              <w:t>À renseigner sur l’étiquette</w:t>
            </w:r>
          </w:p>
        </w:tc>
      </w:tr>
      <w:tr>
        <w:trPr/>
        <w:tc>
          <w:tcPr>
            <w:tcW w:w="5100" w:type="dxa"/>
            <w:tcBorders/>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b/>
                <w:kern w:val="0"/>
                <w:sz w:val="22"/>
                <w:szCs w:val="22"/>
                <w:lang w:val="en-US" w:eastAsia="en-US" w:bidi="ar-SA"/>
              </w:rPr>
              <w:t>Type de miel</w:t>
            </w:r>
          </w:p>
        </w:tc>
        <w:tc>
          <w:tcPr>
            <w:tcW w:w="5100" w:type="dxa"/>
            <w:tcBorders/>
          </w:tcPr>
          <w:p>
            <w:pPr>
              <w:pStyle w:val="Normal"/>
              <w:widowControl/>
              <w:suppressAutoHyphens w:val="true"/>
              <w:spacing w:lineRule="auto" w:line="240" w:before="0" w:after="0"/>
              <w:jc w:val="start"/>
              <w:rPr>
                <w:rFonts w:ascii="Cambria" w:hAnsi="Cambria" w:eastAsia="ＭＳ 明朝" w:cs=""/>
                <w:kern w:val="0"/>
                <w:sz w:val="22"/>
                <w:szCs w:val="22"/>
                <w:lang w:val="en-US" w:eastAsia="en-US" w:bidi="ar-SA"/>
              </w:rPr>
            </w:pPr>
            <w:r>
              <w:rPr>
                <w:rFonts w:eastAsia="ＭＳ 明朝" w:cs=""/>
                <w:kern w:val="0"/>
                <w:sz w:val="22"/>
                <w:szCs w:val="22"/>
                <w:lang w:val="en-US" w:eastAsia="en-US" w:bidi="ar-SA"/>
              </w:rPr>
              <w:t>Printemps / Été</w:t>
            </w:r>
          </w:p>
        </w:tc>
      </w:tr>
    </w:tbl>
    <w:p>
      <w:pPr>
        <w:pStyle w:val="Normal"/>
        <w:rPr>
          <w:b/>
          <w:sz w:val="24"/>
        </w:rPr>
      </w:pPr>
      <w:r>
        <w:rPr>
          <w:b/>
          <w:sz w:val="24"/>
        </w:rPr>
      </w:r>
    </w:p>
    <w:p>
      <w:pPr>
        <w:pStyle w:val="Normal"/>
        <w:rPr>
          <w:b/>
          <w:sz w:val="24"/>
        </w:rPr>
      </w:pPr>
      <w:r>
        <w:rPr>
          <w:b/>
          <w:sz w:val="24"/>
        </w:rPr>
        <w:t>8. Coordonnées du producteur</w:t>
      </w:r>
    </w:p>
    <w:p>
      <w:pPr>
        <w:pStyle w:val="Normal"/>
        <w:rPr/>
      </w:pPr>
      <w:r>
        <w:rPr/>
        <w:t>Les Abeilles de Saint-Gérard</w:t>
      </w:r>
    </w:p>
    <w:p>
      <w:pPr>
        <w:pStyle w:val="Normal"/>
        <w:rPr/>
      </w:pPr>
      <w:r>
        <w:rPr/>
        <w:t>Rue de la Sarthe 1 – 5640 Saint-Gérard – Belgique</w:t>
      </w:r>
    </w:p>
    <w:p>
      <w:pPr>
        <w:pStyle w:val="Normal"/>
        <w:rPr/>
      </w:pPr>
      <w:r>
        <w:rPr/>
        <w:t>Tél. : 0477/39 90 60</w:t>
      </w:r>
    </w:p>
    <w:p>
      <w:pPr>
        <w:pStyle w:val="Normal"/>
        <w:rPr/>
      </w:pPr>
      <w:r>
        <w:rPr/>
        <w:t>N° d’entreprise / TVA : BE 0863.289.211</w:t>
      </w:r>
    </w:p>
    <w:p>
      <w:pPr>
        <w:pStyle w:val="Normal"/>
        <w:spacing w:before="0" w:after="200"/>
        <w:jc w:val="center"/>
        <w:rPr/>
      </w:pPr>
      <w:r>
        <w:rPr>
          <w:i/>
          <w:sz w:val="16"/>
        </w:rPr>
        <w:br/>
      </w:r>
    </w:p>
    <w:sectPr>
      <w:type w:val="nextPage"/>
      <w:pgSz w:w="12240" w:h="15840"/>
      <w:pgMar w:left="1020" w:right="1020" w:gutter="0" w:header="0" w:top="850" w:footer="0" w:bottom="85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mbria">
    <w:charset w:val="00" w:characterSet="windows-1252"/>
    <w:family w:val="roman"/>
    <w:pitch w:val="variable"/>
  </w:font>
  <w:font w:name="Calibri">
    <w:charset w:val="00" w:characterSet="windows-1252"/>
    <w:family w:val="roman"/>
    <w:pitch w:val="variable"/>
  </w:font>
  <w:font w:name="Courier">
    <w:altName w:val="Courier New"/>
    <w:charset w:val="00" w:characterSet="windows-1252"/>
    <w:family w:val="roman"/>
    <w:pitch w:val="variable"/>
  </w:font>
  <w:font w:name="Liberation Sans">
    <w:altName w:val="Arial"/>
    <w:charset w:val="00" w:characterSet="windows-1252"/>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76" w:before="0" w:after="200"/>
      <w:jc w:val="star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Titre">
    <w:name w:val="Titre"/>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Arial"/>
    </w:rPr>
  </w:style>
  <w:style w:type="paragraph" w:styleId="Titreuser">
    <w:name w:val="Titre (user)"/>
    <w:basedOn w:val="Normal"/>
    <w:next w:val="BodyText"/>
    <w:qFormat/>
    <w:pPr>
      <w:keepNext w:val="true"/>
      <w:spacing w:before="240" w:after="120"/>
    </w:pPr>
    <w:rPr>
      <w:rFonts w:ascii="Liberation Sans" w:hAnsi="Liberation Sans" w:eastAsia="Microsoft YaHei" w:cs="Arial"/>
      <w:sz w:val="28"/>
      <w:szCs w:val="28"/>
    </w:rPr>
  </w:style>
  <w:style w:type="paragraph" w:styleId="En-tteetpieddepage">
    <w:name w:val="En-tête et pied de page"/>
    <w:basedOn w:val="Normal"/>
    <w:qFormat/>
    <w:pPr/>
    <w:rPr/>
  </w:style>
  <w:style w:type="paragraph" w:styleId="En-tteetpieddepageuser">
    <w:name w:val="En-tête et pied de page (us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star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start="720"/>
      <w:contextualSpacing/>
    </w:pPr>
    <w:rPr/>
  </w:style>
  <w:style w:type="paragraph" w:styleId="List3">
    <w:name w:val="List 3"/>
    <w:basedOn w:val="Normal"/>
    <w:uiPriority w:val="99"/>
    <w:unhideWhenUsed/>
    <w:qFormat/>
    <w:rsid w:val="00326f90"/>
    <w:pPr>
      <w:spacing w:before="0" w:after="200"/>
      <w:ind w:hanging="360" w:star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Titre"/>
    <w:pPr/>
    <w:rPr/>
  </w:style>
  <w:style w:type="paragraph" w:styleId="TOCHeading">
    <w:name w:val="TOC Heading"/>
    <w:basedOn w:val="Heading1"/>
    <w:next w:val="Normal"/>
    <w:uiPriority w:val="39"/>
    <w:semiHidden/>
    <w:unhideWhenUsed/>
    <w:qFormat/>
    <w:rsid w:val="00fc693f"/>
    <w:pPr>
      <w:outlineLvl w:val="9"/>
    </w:pPr>
    <w:rPr/>
  </w:style>
  <w:style w:type="numbering" w:styleId="Pasdeliste" w:default="1">
    <w:name w:val="Pas de liste"/>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Application>LibreOffice/26.2.6.3$Windows_X86_64 LibreOffice_project/8221e31b3ac356a1623c672912a3d2b492f7e3d1</Application>
  <AppVersion>15.0000</AppVersion>
  <Pages>2</Pages>
  <Words>301</Words>
  <Characters>1712</Characters>
  <CharactersWithSpaces>1958</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fr-BE</dc:language>
  <cp:lastModifiedBy/>
  <dcterms:modified xsi:type="dcterms:W3CDTF">2026-09-16T17:55:42Z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