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4D38" w:rsidRDefault="00264D38">
      <w:pPr>
        <w:pStyle w:val="berschrift2"/>
      </w:pPr>
      <w:r>
        <w:rPr>
          <w:rStyle w:val="berschrift2"/>
        </w:rPr>
        <w:t xml:space="preserve">Élément de cuisson Gastronorm perforé </w:t>
      </w:r>
    </w:p>
    <w:p w:rsidR="00264D38" w:rsidRDefault="00264D38">
      <w:pPr>
        <w:suppressAutoHyphens/>
        <w:rPr>
          <w:rFonts w:ascii="Arial" w:hAnsi="Arial"/>
          <w:b/>
        </w:rPr>
      </w:pPr>
      <w:r>
        <w:rPr>
          <w:rStyle w:val="Standard"/>
          <w:rFonts w:ascii="Arial" w:hAnsi="Arial"/>
          <w:b/>
          <w:sz w:val="28"/>
          <w:u w:val="single"/>
        </w:rPr>
        <w:t>G-KEN 1/1-95</w:t>
      </w:r>
    </w:p>
    <w:p w:rsidR="00264D38" w:rsidRDefault="00264D38">
      <w:pPr>
        <w:suppressAutoHyphens/>
        <w:rPr>
          <w:rFonts w:ascii="Arial" w:hAnsi="Arial"/>
        </w:rPr>
      </w:pPr>
    </w:p>
    <w:p w:rsidR="00264D38" w:rsidRDefault="00264D38">
      <w:pPr>
        <w:suppressAutoHyphens/>
        <w:rPr>
          <w:rFonts w:ascii="Arial" w:hAnsi="Arial"/>
        </w:rPr>
      </w:pPr>
    </w:p>
    <w:p w:rsidR="00264D38" w:rsidRDefault="00264D38">
      <w:pPr>
        <w:suppressAutoHyphens/>
        <w:rPr>
          <w:rFonts w:ascii="Arial" w:hAnsi="Arial"/>
        </w:rPr>
      </w:pPr>
      <w:r>
        <w:rPr>
          <w:rStyle w:val="Standard"/>
          <w:rFonts w:ascii="Arial" w:hAnsi="Arial"/>
          <w:b/>
        </w:rPr>
        <w:t>Dimensions</w:t>
      </w:r>
    </w:p>
    <w:p w:rsidR="00264D38" w:rsidRDefault="00264D38">
      <w:pPr>
        <w:suppressAutoHyphens/>
        <w:rPr>
          <w:rFonts w:ascii="Arial" w:hAnsi="Arial"/>
        </w:rPr>
      </w:pPr>
    </w:p>
    <w:p w:rsidR="00264D38" w:rsidRDefault="00264D38">
      <w:pPr>
        <w:suppressAutoHyphens/>
        <w:rPr>
          <w:rFonts w:ascii="Arial" w:hAnsi="Arial"/>
        </w:rPr>
      </w:pPr>
      <w:r>
        <w:rPr>
          <w:rStyle w:val="Standard"/>
          <w:rFonts w:ascii="Arial" w:hAnsi="Arial"/>
        </w:rPr>
        <w:t>Dimensions extérieures:</w:t>
      </w:r>
    </w:p>
    <w:p w:rsidR="00264D38" w:rsidRDefault="00264D38">
      <w:pPr>
        <w:tabs>
          <w:tab w:val="left" w:pos="1701"/>
        </w:tabs>
        <w:suppressAutoHyphens/>
        <w:rPr>
          <w:rFonts w:ascii="Arial" w:hAnsi="Arial"/>
        </w:rPr>
      </w:pPr>
      <w:r>
        <w:rPr>
          <w:rStyle w:val="Standard"/>
          <w:rFonts w:ascii="Arial" w:hAnsi="Arial"/>
        </w:rPr>
        <w:t>Longueur:</w:t>
      </w:r>
      <w:r>
        <w:rPr>
          <w:rStyle w:val="Standard"/>
          <w:rFonts w:ascii="Arial" w:hAnsi="Arial"/>
        </w:rPr>
        <w:tab/>
      </w:r>
      <w:r>
        <w:rPr>
          <w:rStyle w:val="Standard"/>
          <w:rFonts w:ascii="Arial" w:hAnsi="Arial"/>
        </w:rPr>
        <w:tab/>
        <w:t>530 mm</w:t>
      </w:r>
    </w:p>
    <w:p w:rsidR="00264D38" w:rsidRDefault="00264D38">
      <w:pPr>
        <w:tabs>
          <w:tab w:val="left" w:pos="1701"/>
        </w:tabs>
        <w:suppressAutoHyphens/>
        <w:rPr>
          <w:rFonts w:ascii="Arial" w:hAnsi="Arial"/>
        </w:rPr>
      </w:pPr>
      <w:r>
        <w:rPr>
          <w:rStyle w:val="Standard"/>
          <w:rFonts w:ascii="Arial" w:hAnsi="Arial"/>
        </w:rPr>
        <w:t>Largeur:</w:t>
      </w:r>
      <w:r>
        <w:rPr>
          <w:rStyle w:val="Standard"/>
          <w:rFonts w:ascii="Arial" w:hAnsi="Arial"/>
        </w:rPr>
        <w:tab/>
      </w:r>
      <w:r>
        <w:rPr>
          <w:rStyle w:val="Standard"/>
          <w:rFonts w:ascii="Arial" w:hAnsi="Arial"/>
        </w:rPr>
        <w:tab/>
        <w:t>325 mm</w:t>
      </w:r>
    </w:p>
    <w:p w:rsidR="00264D38" w:rsidRDefault="00264D38">
      <w:pPr>
        <w:tabs>
          <w:tab w:val="left" w:pos="1701"/>
        </w:tabs>
        <w:suppressAutoHyphens/>
        <w:rPr>
          <w:rFonts w:ascii="Arial" w:hAnsi="Arial"/>
        </w:rPr>
      </w:pPr>
      <w:r>
        <w:rPr>
          <w:rStyle w:val="Standard"/>
          <w:rFonts w:ascii="Arial" w:hAnsi="Arial"/>
        </w:rPr>
        <w:t>Profondeur:</w:t>
      </w:r>
      <w:r>
        <w:rPr>
          <w:rStyle w:val="Standard"/>
          <w:rFonts w:ascii="Arial" w:hAnsi="Arial"/>
        </w:rPr>
        <w:tab/>
      </w:r>
      <w:r>
        <w:rPr>
          <w:rStyle w:val="Standard"/>
          <w:rFonts w:ascii="Arial" w:hAnsi="Arial"/>
        </w:rPr>
        <w:tab/>
        <w:t xml:space="preserve">  95 mm</w:t>
      </w:r>
    </w:p>
    <w:p w:rsidR="00264D38" w:rsidRDefault="00264D38">
      <w:pPr>
        <w:suppressAutoHyphens/>
        <w:rPr>
          <w:rFonts w:ascii="Arial" w:hAnsi="Arial"/>
        </w:rPr>
      </w:pPr>
    </w:p>
    <w:p w:rsidR="00264D38" w:rsidRDefault="00264D38">
      <w:pPr>
        <w:suppressAutoHyphens/>
        <w:rPr>
          <w:rFonts w:ascii="Arial" w:hAnsi="Arial"/>
        </w:rPr>
      </w:pPr>
      <w:r>
        <w:rPr>
          <w:rStyle w:val="Standard"/>
          <w:rFonts w:ascii="Arial" w:hAnsi="Arial"/>
        </w:rPr>
        <w:t>Dimensions intérieures:</w:t>
      </w:r>
    </w:p>
    <w:p w:rsidR="00264D38" w:rsidRDefault="00264D38">
      <w:pPr>
        <w:suppressAutoHyphens/>
        <w:rPr>
          <w:rFonts w:ascii="Arial" w:hAnsi="Arial"/>
        </w:rPr>
      </w:pPr>
      <w:r>
        <w:rPr>
          <w:rStyle w:val="Standard"/>
          <w:rFonts w:ascii="Arial" w:hAnsi="Arial"/>
        </w:rPr>
        <w:t>Longueur:</w:t>
      </w:r>
      <w:r>
        <w:rPr>
          <w:rStyle w:val="Standard"/>
          <w:rFonts w:ascii="Arial" w:hAnsi="Arial"/>
        </w:rPr>
        <w:tab/>
      </w:r>
      <w:r>
        <w:rPr>
          <w:rStyle w:val="Standard"/>
          <w:rFonts w:ascii="Arial" w:hAnsi="Arial"/>
        </w:rPr>
        <w:tab/>
        <w:t>500 mm</w:t>
      </w:r>
    </w:p>
    <w:p w:rsidR="00264D38" w:rsidRDefault="00264D38">
      <w:pPr>
        <w:tabs>
          <w:tab w:val="left" w:pos="1701"/>
        </w:tabs>
        <w:suppressAutoHyphens/>
        <w:rPr>
          <w:rFonts w:ascii="Arial" w:hAnsi="Arial"/>
        </w:rPr>
      </w:pPr>
      <w:r>
        <w:rPr>
          <w:rStyle w:val="Standard"/>
          <w:rFonts w:ascii="Arial" w:hAnsi="Arial"/>
        </w:rPr>
        <w:t>Largeur:</w:t>
      </w:r>
      <w:r>
        <w:rPr>
          <w:rStyle w:val="Standard"/>
          <w:rFonts w:ascii="Arial" w:hAnsi="Arial"/>
        </w:rPr>
        <w:tab/>
      </w:r>
      <w:r>
        <w:rPr>
          <w:rStyle w:val="Standard"/>
          <w:rFonts w:ascii="Arial" w:hAnsi="Arial"/>
        </w:rPr>
        <w:tab/>
        <w:t>295 mm</w:t>
      </w:r>
    </w:p>
    <w:p w:rsidR="00264D38" w:rsidRDefault="00264D38">
      <w:pPr>
        <w:tabs>
          <w:tab w:val="left" w:pos="1701"/>
        </w:tabs>
        <w:suppressAutoHyphens/>
        <w:rPr>
          <w:rFonts w:ascii="Arial" w:hAnsi="Arial"/>
        </w:rPr>
      </w:pPr>
      <w:r>
        <w:rPr>
          <w:rStyle w:val="Standard"/>
          <w:rFonts w:ascii="Arial" w:hAnsi="Arial"/>
        </w:rPr>
        <w:t>Rayon de fond:</w:t>
      </w:r>
      <w:r>
        <w:rPr>
          <w:rStyle w:val="Standard"/>
          <w:rFonts w:ascii="Arial" w:hAnsi="Arial"/>
        </w:rPr>
        <w:tab/>
      </w:r>
      <w:r>
        <w:rPr>
          <w:rStyle w:val="Standard"/>
          <w:rFonts w:ascii="Arial" w:hAnsi="Arial"/>
        </w:rPr>
        <w:tab/>
        <w:t>R 20 mm</w:t>
      </w:r>
    </w:p>
    <w:p w:rsidR="00264D38" w:rsidRDefault="00264D38">
      <w:pPr>
        <w:tabs>
          <w:tab w:val="left" w:pos="1701"/>
        </w:tabs>
        <w:suppressAutoHyphens/>
        <w:rPr>
          <w:rFonts w:ascii="Arial" w:hAnsi="Arial"/>
        </w:rPr>
      </w:pPr>
      <w:r>
        <w:rPr>
          <w:rStyle w:val="Standard"/>
          <w:rFonts w:ascii="Arial" w:hAnsi="Arial"/>
        </w:rPr>
        <w:t>Rayon de coin:</w:t>
      </w:r>
      <w:r>
        <w:rPr>
          <w:rStyle w:val="Standard"/>
          <w:rFonts w:ascii="Arial" w:hAnsi="Arial"/>
        </w:rPr>
        <w:tab/>
      </w:r>
      <w:r>
        <w:rPr>
          <w:rStyle w:val="Standard"/>
          <w:rFonts w:ascii="Arial" w:hAnsi="Arial"/>
        </w:rPr>
        <w:tab/>
        <w:t>R 77,5 mm</w:t>
      </w:r>
    </w:p>
    <w:p w:rsidR="00264D38" w:rsidRDefault="00264D38">
      <w:pPr>
        <w:suppressAutoHyphens/>
        <w:rPr>
          <w:rFonts w:ascii="Arial" w:hAnsi="Arial"/>
        </w:rPr>
      </w:pPr>
    </w:p>
    <w:p w:rsidR="00264D38" w:rsidRDefault="00264D38">
      <w:pPr>
        <w:suppressAutoHyphens/>
        <w:rPr>
          <w:rFonts w:ascii="Arial" w:hAnsi="Arial"/>
        </w:rPr>
      </w:pPr>
    </w:p>
    <w:p w:rsidR="00264D38" w:rsidRDefault="00264D38">
      <w:pPr>
        <w:pStyle w:val="berschrift1"/>
      </w:pPr>
      <w:r>
        <w:rPr>
          <w:rStyle w:val="berschrift1"/>
        </w:rPr>
        <w:t>Version</w:t>
      </w:r>
    </w:p>
    <w:p w:rsidR="00264D38" w:rsidRDefault="00264D38">
      <w:pPr>
        <w:suppressAutoHyphens/>
        <w:rPr>
          <w:rFonts w:ascii="Arial" w:hAnsi="Arial"/>
        </w:rPr>
      </w:pPr>
    </w:p>
    <w:p w:rsidR="00264D38" w:rsidRDefault="00264D38">
      <w:pPr>
        <w:suppressAutoHyphens/>
        <w:rPr>
          <w:rFonts w:ascii="Arial" w:hAnsi="Arial"/>
        </w:rPr>
      </w:pPr>
      <w:r>
        <w:rPr>
          <w:rStyle w:val="Standard"/>
          <w:rFonts w:ascii="Arial" w:hAnsi="Arial"/>
        </w:rPr>
        <w:t>L'élément de cuisson Gastronorm est fabriqué en acier inoxydable AISI 304 et embouti sans soudure. Le fond et les parois latérales sont dotés d'une perforation D = 4 mm, les rayons de coin d'une perforation D = 3 mm (écartement des trous 6 mm). Cette perforation conçue spécialement pour l'élément de cuisson assure des temps de cuisson réduit et un refroidissement ou égouttage plus rapide des repas. De très grands rayons de coins et de fond permettent une distribution de repas sans reste et facilitent le nettoyage.</w:t>
      </w:r>
    </w:p>
    <w:p w:rsidR="00264D38" w:rsidRDefault="00264D38">
      <w:pPr>
        <w:suppressAutoHyphens/>
        <w:rPr>
          <w:rFonts w:ascii="Arial" w:hAnsi="Arial"/>
        </w:rPr>
      </w:pPr>
    </w:p>
    <w:p w:rsidR="00264D38" w:rsidRDefault="00264D38">
      <w:pPr>
        <w:suppressAutoHyphens/>
        <w:rPr>
          <w:rFonts w:ascii="Arial" w:hAnsi="Arial"/>
        </w:rPr>
      </w:pPr>
    </w:p>
    <w:p w:rsidR="00264D38" w:rsidRDefault="00264D38">
      <w:pPr>
        <w:suppressAutoHyphens/>
        <w:rPr>
          <w:rFonts w:ascii="Arial" w:hAnsi="Arial"/>
          <w:b/>
        </w:rPr>
      </w:pPr>
      <w:r>
        <w:rPr>
          <w:rStyle w:val="Standard"/>
          <w:rFonts w:ascii="Arial" w:hAnsi="Arial"/>
          <w:b/>
        </w:rPr>
        <w:t>Caractéristiques techniques</w:t>
      </w:r>
    </w:p>
    <w:p w:rsidR="00264D38" w:rsidRDefault="00264D38">
      <w:pPr>
        <w:suppressAutoHyphens/>
        <w:rPr>
          <w:rFonts w:ascii="Arial" w:hAnsi="Arial"/>
        </w:rPr>
      </w:pPr>
    </w:p>
    <w:p w:rsidR="00264D38" w:rsidRDefault="00264D38">
      <w:pPr>
        <w:tabs>
          <w:tab w:val="left" w:pos="2268"/>
        </w:tabs>
        <w:suppressAutoHyphens/>
        <w:rPr>
          <w:rFonts w:ascii="Arial" w:hAnsi="Arial"/>
        </w:rPr>
      </w:pPr>
      <w:r>
        <w:rPr>
          <w:rStyle w:val="Standard"/>
          <w:rFonts w:ascii="Arial" w:hAnsi="Arial"/>
        </w:rPr>
        <w:t>Matériau:</w:t>
      </w:r>
      <w:r>
        <w:rPr>
          <w:rStyle w:val="Standard"/>
          <w:rFonts w:ascii="Arial" w:hAnsi="Arial"/>
        </w:rPr>
        <w:tab/>
        <w:t>Acier inoxydable - AISI 304</w:t>
      </w:r>
    </w:p>
    <w:p w:rsidR="00264D38" w:rsidRDefault="00264D38">
      <w:pPr>
        <w:pStyle w:val="toa"/>
        <w:tabs>
          <w:tab w:val="clear" w:pos="9000"/>
          <w:tab w:val="clear" w:pos="9360"/>
          <w:tab w:val="left" w:pos="2268"/>
        </w:tabs>
        <w:rPr>
          <w:rFonts w:ascii="Arial" w:hAnsi="Arial"/>
        </w:rPr>
      </w:pPr>
      <w:r>
        <w:rPr>
          <w:rStyle w:val="toa"/>
          <w:rFonts w:ascii="Arial" w:hAnsi="Arial"/>
        </w:rPr>
        <w:t>Normes:</w:t>
      </w:r>
      <w:r>
        <w:rPr>
          <w:rStyle w:val="toa"/>
          <w:rFonts w:ascii="Arial" w:hAnsi="Arial"/>
        </w:rPr>
        <w:tab/>
        <w:t>DIN EN 631</w:t>
      </w:r>
    </w:p>
    <w:p w:rsidR="00264D38" w:rsidRDefault="00264D38" w:rsidP="00155279">
      <w:pPr>
        <w:tabs>
          <w:tab w:val="left" w:pos="2268"/>
        </w:tabs>
        <w:suppressAutoHyphens/>
        <w:ind w:left="2265" w:right="454" w:hanging="2265"/>
        <w:rPr>
          <w:rFonts w:ascii="Arial" w:hAnsi="Arial"/>
        </w:rPr>
      </w:pPr>
      <w:r>
        <w:rPr>
          <w:rStyle w:val="Standard"/>
          <w:rFonts w:ascii="Arial" w:hAnsi="Arial"/>
        </w:rPr>
        <w:t>Contenance:</w:t>
      </w:r>
      <w:r>
        <w:rPr>
          <w:rStyle w:val="Standard"/>
          <w:rFonts w:ascii="Arial" w:hAnsi="Arial"/>
        </w:rPr>
        <w:tab/>
        <w:t>jusqu'à 20 mm en dessous du bord:</w:t>
      </w:r>
      <w:r w:rsidR="00155279">
        <w:rPr>
          <w:rStyle w:val="Standard"/>
          <w:rFonts w:ascii="Arial" w:hAnsi="Arial"/>
        </w:rPr>
        <w:br/>
      </w:r>
      <w:r>
        <w:rPr>
          <w:rStyle w:val="Standard"/>
          <w:rFonts w:ascii="Arial" w:hAnsi="Arial"/>
        </w:rPr>
        <w:t>10,0 litres</w:t>
      </w:r>
    </w:p>
    <w:p w:rsidR="00264D38" w:rsidRDefault="00264D38" w:rsidP="00155279">
      <w:pPr>
        <w:tabs>
          <w:tab w:val="left" w:pos="2268"/>
        </w:tabs>
        <w:suppressAutoHyphens/>
        <w:ind w:left="2265" w:right="454"/>
        <w:rPr>
          <w:rFonts w:ascii="Arial" w:hAnsi="Arial"/>
        </w:rPr>
      </w:pPr>
      <w:r>
        <w:rPr>
          <w:rStyle w:val="Standard"/>
          <w:rFonts w:ascii="Arial" w:hAnsi="Arial"/>
        </w:rPr>
        <w:t>jusqu'à 3 mm en dessous</w:t>
      </w:r>
      <w:r w:rsidR="00155279">
        <w:rPr>
          <w:rStyle w:val="Standard"/>
          <w:rFonts w:ascii="Arial" w:hAnsi="Arial"/>
        </w:rPr>
        <w:br/>
      </w:r>
      <w:r>
        <w:rPr>
          <w:rStyle w:val="Standard"/>
          <w:rFonts w:ascii="Arial" w:hAnsi="Arial"/>
        </w:rPr>
        <w:t>du bord:</w:t>
      </w:r>
    </w:p>
    <w:p w:rsidR="00264D38" w:rsidRDefault="00264D38" w:rsidP="00264D38">
      <w:pPr>
        <w:tabs>
          <w:tab w:val="left" w:pos="2268"/>
        </w:tabs>
        <w:suppressAutoHyphens/>
        <w:ind w:right="454"/>
        <w:rPr>
          <w:rStyle w:val="Standard"/>
          <w:rFonts w:ascii="Arial" w:hAnsi="Arial"/>
        </w:rPr>
      </w:pPr>
      <w:r>
        <w:rPr>
          <w:rStyle w:val="Standard"/>
          <w:rFonts w:ascii="Arial" w:hAnsi="Arial"/>
        </w:rPr>
        <w:tab/>
        <w:t>12,5 litres</w:t>
      </w:r>
    </w:p>
    <w:p w:rsidR="00705EF4" w:rsidRDefault="00705EF4" w:rsidP="00264D38">
      <w:pPr>
        <w:tabs>
          <w:tab w:val="left" w:pos="2268"/>
        </w:tabs>
        <w:suppressAutoHyphens/>
        <w:ind w:right="454"/>
        <w:rPr>
          <w:rFonts w:ascii="Arial" w:hAnsi="Arial"/>
        </w:rPr>
      </w:pPr>
      <w:r>
        <w:rPr>
          <w:rStyle w:val="Standard"/>
          <w:rFonts w:ascii="Arial" w:hAnsi="Arial"/>
        </w:rPr>
        <w:t>Poids :</w:t>
      </w:r>
      <w:r>
        <w:rPr>
          <w:rStyle w:val="Standard"/>
          <w:rFonts w:ascii="Arial" w:hAnsi="Arial"/>
        </w:rPr>
        <w:tab/>
        <w:t>1,2 kg</w:t>
      </w:r>
    </w:p>
    <w:p w:rsidR="00264D38" w:rsidRDefault="00264D38">
      <w:pPr>
        <w:suppressAutoHyphens/>
        <w:rPr>
          <w:rFonts w:ascii="Arial" w:hAnsi="Arial"/>
        </w:rPr>
      </w:pPr>
    </w:p>
    <w:p w:rsidR="00264D38" w:rsidRDefault="00264D38">
      <w:pPr>
        <w:suppressAutoHyphens/>
        <w:rPr>
          <w:rFonts w:ascii="Arial" w:hAnsi="Arial"/>
        </w:rPr>
      </w:pPr>
    </w:p>
    <w:p w:rsidR="00264D38" w:rsidRDefault="00264D38">
      <w:pPr>
        <w:suppressAutoHyphens/>
        <w:rPr>
          <w:rFonts w:ascii="Arial" w:hAnsi="Arial"/>
        </w:rPr>
      </w:pPr>
    </w:p>
    <w:p w:rsidR="00264D38" w:rsidRDefault="00264D38">
      <w:pPr>
        <w:suppressAutoHyphens/>
        <w:rPr>
          <w:rFonts w:ascii="Arial" w:hAnsi="Arial"/>
        </w:rPr>
      </w:pPr>
    </w:p>
    <w:p w:rsidR="00264D38" w:rsidRDefault="00264D38">
      <w:pPr>
        <w:suppressAutoHyphens/>
        <w:rPr>
          <w:rFonts w:ascii="Arial" w:hAnsi="Arial"/>
        </w:rPr>
      </w:pPr>
    </w:p>
    <w:p w:rsidR="00264D38" w:rsidRDefault="00264D38">
      <w:pPr>
        <w:suppressAutoHyphens/>
        <w:rPr>
          <w:rFonts w:ascii="Arial" w:hAnsi="Arial"/>
        </w:rPr>
      </w:pPr>
    </w:p>
    <w:p w:rsidR="00264D38" w:rsidRDefault="00264D38">
      <w:pPr>
        <w:pStyle w:val="berschrift1"/>
      </w:pPr>
      <w:r>
        <w:rPr>
          <w:rStyle w:val="berschrift1"/>
        </w:rPr>
        <w:t>Particularité</w:t>
      </w:r>
    </w:p>
    <w:p w:rsidR="00264D38" w:rsidRDefault="00264D38">
      <w:pPr>
        <w:suppressAutoHyphens/>
        <w:ind w:right="454"/>
        <w:rPr>
          <w:rFonts w:ascii="Arial" w:hAnsi="Arial"/>
        </w:rPr>
      </w:pPr>
    </w:p>
    <w:p w:rsidR="00264D38" w:rsidRDefault="00264D38">
      <w:pPr>
        <w:numPr>
          <w:ilvl w:val="0"/>
          <w:numId w:val="1"/>
        </w:numPr>
        <w:suppressAutoHyphens/>
        <w:ind w:right="454"/>
        <w:rPr>
          <w:rFonts w:ascii="Arial" w:hAnsi="Arial"/>
        </w:rPr>
      </w:pPr>
      <w:r>
        <w:rPr>
          <w:rStyle w:val="Standard"/>
          <w:rFonts w:ascii="Arial" w:hAnsi="Arial"/>
        </w:rPr>
        <w:t>Grands rayons de coin (de paroi latérale à paroi latérale)</w:t>
      </w:r>
    </w:p>
    <w:p w:rsidR="00264D38" w:rsidRDefault="00264D38">
      <w:pPr>
        <w:numPr>
          <w:ilvl w:val="0"/>
          <w:numId w:val="1"/>
        </w:numPr>
        <w:suppressAutoHyphens/>
        <w:ind w:right="454"/>
        <w:rPr>
          <w:rFonts w:ascii="Arial" w:hAnsi="Arial"/>
        </w:rPr>
      </w:pPr>
      <w:r>
        <w:rPr>
          <w:rStyle w:val="Standard"/>
          <w:rFonts w:ascii="Arial" w:hAnsi="Arial"/>
        </w:rPr>
        <w:t>Rayons de fond agrandis (du fond aux parois latérales)</w:t>
      </w:r>
    </w:p>
    <w:p w:rsidR="00264D38" w:rsidRDefault="00264D38">
      <w:pPr>
        <w:numPr>
          <w:ilvl w:val="0"/>
          <w:numId w:val="1"/>
        </w:numPr>
        <w:suppressAutoHyphens/>
        <w:ind w:right="454"/>
        <w:rPr>
          <w:rFonts w:ascii="Arial" w:hAnsi="Arial"/>
        </w:rPr>
      </w:pPr>
      <w:r>
        <w:rPr>
          <w:rStyle w:val="Standard"/>
          <w:rFonts w:ascii="Arial" w:hAnsi="Arial"/>
        </w:rPr>
        <w:t>Fond, coins et paroi latérale perforés</w:t>
      </w:r>
    </w:p>
    <w:p w:rsidR="00264D38" w:rsidRDefault="00264D38">
      <w:pPr>
        <w:suppressAutoHyphens/>
        <w:rPr>
          <w:rFonts w:ascii="Arial" w:hAnsi="Arial"/>
        </w:rPr>
      </w:pPr>
    </w:p>
    <w:p w:rsidR="00264D38" w:rsidRDefault="00264D38">
      <w:pPr>
        <w:suppressAutoHyphens/>
        <w:rPr>
          <w:rFonts w:ascii="Arial" w:hAnsi="Arial"/>
        </w:rPr>
      </w:pPr>
    </w:p>
    <w:p w:rsidR="00264D38" w:rsidRDefault="00264D38">
      <w:pPr>
        <w:suppressAutoHyphens/>
        <w:rPr>
          <w:rFonts w:ascii="Arial" w:hAnsi="Arial"/>
          <w:b/>
        </w:rPr>
      </w:pPr>
      <w:r>
        <w:rPr>
          <w:rStyle w:val="Standard"/>
          <w:rFonts w:ascii="Arial" w:hAnsi="Arial"/>
          <w:b/>
        </w:rPr>
        <w:t>Marque</w:t>
      </w:r>
    </w:p>
    <w:p w:rsidR="00264D38" w:rsidRDefault="00264D38">
      <w:pPr>
        <w:suppressAutoHyphens/>
        <w:rPr>
          <w:rFonts w:ascii="Arial" w:hAnsi="Arial"/>
          <w:b/>
        </w:rPr>
      </w:pPr>
    </w:p>
    <w:p w:rsidR="00264D38" w:rsidRDefault="00264D38">
      <w:pPr>
        <w:tabs>
          <w:tab w:val="left" w:pos="2268"/>
        </w:tabs>
        <w:suppressAutoHyphens/>
        <w:rPr>
          <w:rFonts w:ascii="Arial" w:hAnsi="Arial"/>
        </w:rPr>
      </w:pPr>
      <w:r>
        <w:rPr>
          <w:rStyle w:val="Standard"/>
          <w:rFonts w:ascii="Arial" w:hAnsi="Arial"/>
        </w:rPr>
        <w:t>Fabricant:</w:t>
      </w:r>
      <w:r>
        <w:rPr>
          <w:rStyle w:val="Standard"/>
          <w:rFonts w:ascii="Arial" w:hAnsi="Arial"/>
        </w:rPr>
        <w:tab/>
      </w:r>
      <w:r w:rsidR="00C944FA" w:rsidRPr="00C944FA">
        <w:rPr>
          <w:rFonts w:ascii="Arial" w:hAnsi="Arial"/>
        </w:rPr>
        <w:t>B.PRO</w:t>
      </w:r>
    </w:p>
    <w:p w:rsidR="00264D38" w:rsidRDefault="00264D38">
      <w:pPr>
        <w:tabs>
          <w:tab w:val="left" w:pos="2268"/>
        </w:tabs>
        <w:suppressAutoHyphens/>
        <w:rPr>
          <w:rFonts w:ascii="Arial" w:hAnsi="Arial"/>
        </w:rPr>
      </w:pPr>
      <w:r>
        <w:rPr>
          <w:rStyle w:val="Standard"/>
          <w:rFonts w:ascii="Arial" w:hAnsi="Arial"/>
        </w:rPr>
        <w:t>Type:</w:t>
      </w:r>
      <w:r>
        <w:rPr>
          <w:rStyle w:val="Standard"/>
          <w:rFonts w:ascii="Arial" w:hAnsi="Arial"/>
        </w:rPr>
        <w:tab/>
        <w:t>G-KEN 1/1-95</w:t>
      </w:r>
    </w:p>
    <w:p w:rsidR="00264D38" w:rsidRDefault="00264D38">
      <w:pPr>
        <w:tabs>
          <w:tab w:val="left" w:pos="2268"/>
        </w:tabs>
        <w:suppressAutoHyphens/>
        <w:rPr>
          <w:rFonts w:ascii="Arial" w:hAnsi="Arial"/>
        </w:rPr>
      </w:pPr>
      <w:r>
        <w:rPr>
          <w:rStyle w:val="Standard"/>
          <w:rFonts w:ascii="Arial" w:hAnsi="Arial"/>
        </w:rPr>
        <w:t>Référence:</w:t>
      </w:r>
      <w:r>
        <w:rPr>
          <w:rStyle w:val="Standard"/>
          <w:rFonts w:ascii="Arial" w:hAnsi="Arial"/>
          <w:b/>
        </w:rPr>
        <w:tab/>
      </w:r>
      <w:r>
        <w:rPr>
          <w:rStyle w:val="Standard"/>
          <w:rFonts w:ascii="Arial" w:hAnsi="Arial"/>
        </w:rPr>
        <w:t>550 407</w:t>
      </w:r>
    </w:p>
    <w:sectPr w:rsidR="00264D38">
      <w:footerReference w:type="default" r:id="rId7"/>
      <w:endnotePr>
        <w:numFmt w:val="decimal"/>
      </w:endnotePr>
      <w:pgSz w:w="12242" w:h="15842"/>
      <w:pgMar w:top="1418" w:right="4961" w:bottom="1134"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0266" w:rsidRDefault="00EC0266">
      <w:pPr>
        <w:spacing w:line="20" w:lineRule="exact"/>
      </w:pPr>
    </w:p>
  </w:endnote>
  <w:endnote w:type="continuationSeparator" w:id="0">
    <w:p w:rsidR="00EC0266" w:rsidRDefault="00EC0266">
      <w:r>
        <w:rPr>
          <w:rStyle w:val="Standard"/>
        </w:rPr>
        <w:t xml:space="preserve"> </w:t>
      </w:r>
    </w:p>
  </w:endnote>
  <w:endnote w:type="continuationNotice" w:id="1">
    <w:p w:rsidR="00EC0266" w:rsidRDefault="00EC0266">
      <w:r>
        <w:rPr>
          <w:rStyle w:val="Standard"/>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4D38" w:rsidRDefault="00264D38">
    <w:pPr>
      <w:pStyle w:val="Fuzeile"/>
      <w:rPr>
        <w:rFonts w:ascii="Arial" w:hAnsi="Arial"/>
        <w:sz w:val="16"/>
      </w:rPr>
    </w:pPr>
    <w:r>
      <w:rPr>
        <w:rStyle w:val="Fuzeile"/>
        <w:rFonts w:ascii="Arial" w:hAnsi="Arial"/>
        <w:sz w:val="16"/>
      </w:rPr>
      <w:t xml:space="preserve">Texte de cahier de charges G-KEN 1/1-95/ Version </w:t>
    </w:r>
    <w:r w:rsidR="00705EF4">
      <w:rPr>
        <w:rStyle w:val="Fuzeile"/>
        <w:rFonts w:ascii="Arial" w:hAnsi="Arial"/>
        <w:sz w:val="16"/>
      </w:rPr>
      <w:t>4</w:t>
    </w:r>
    <w:r>
      <w:rPr>
        <w:rStyle w:val="Fuzeile"/>
        <w:rFonts w:ascii="Arial" w:hAnsi="Arial"/>
        <w:sz w:val="16"/>
      </w:rPr>
      <w:t xml:space="preserve">.0/ </w:t>
    </w:r>
    <w:r w:rsidR="00705EF4">
      <w:rPr>
        <w:rStyle w:val="Fuzeile"/>
        <w:rFonts w:ascii="Arial" w:hAnsi="Arial"/>
        <w:sz w:val="16"/>
      </w:rPr>
      <w:t>N. Schmierer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0266" w:rsidRDefault="00EC0266">
      <w:r>
        <w:separator/>
      </w:r>
    </w:p>
  </w:footnote>
  <w:footnote w:type="continuationSeparator" w:id="0">
    <w:p w:rsidR="00EC0266" w:rsidRDefault="00EC0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D1032"/>
    <w:multiLevelType w:val="singleLevel"/>
    <w:tmpl w:val="23B8B6EA"/>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6FE7"/>
    <w:rsid w:val="00155279"/>
    <w:rsid w:val="00264D38"/>
    <w:rsid w:val="002A1A45"/>
    <w:rsid w:val="00705EF4"/>
    <w:rsid w:val="00B25020"/>
    <w:rsid w:val="00C944FA"/>
    <w:rsid w:val="00D91217"/>
    <w:rsid w:val="00EC0266"/>
    <w:rsid w:val="00EC2D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B47F90-2620-4F79-B118-27BF64BD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urier New" w:hAnsi="Courier New"/>
      <w:sz w:val="24"/>
      <w:lang w:val="fr-FR" w:eastAsia="fr-FR"/>
    </w:rPr>
  </w:style>
  <w:style w:type="paragraph" w:styleId="berschrift1">
    <w:name w:val="heading 1"/>
    <w:basedOn w:val="Standard"/>
    <w:next w:val="Standard"/>
    <w:qFormat/>
    <w:pPr>
      <w:keepNext/>
      <w:suppressAutoHyphens/>
      <w:outlineLvl w:val="0"/>
    </w:pPr>
    <w:rPr>
      <w:rFonts w:ascii="Arial" w:hAnsi="Arial"/>
      <w:b/>
    </w:rPr>
  </w:style>
  <w:style w:type="paragraph" w:styleId="berschrift2">
    <w:name w:val="heading 2"/>
    <w:basedOn w:val="Standard"/>
    <w:next w:val="Standard"/>
    <w:qFormat/>
    <w:pPr>
      <w:keepNext/>
      <w:suppressAutoHyphens/>
      <w:outlineLvl w:val="1"/>
    </w:pPr>
    <w:rPr>
      <w:rFonts w:ascii="Arial" w:hAnsi="Arial"/>
      <w:b/>
      <w:sz w:val="28"/>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Verzeichnis1">
    <w:name w:val="toc 1"/>
    <w:basedOn w:val="Standard"/>
    <w:next w:val="Standard"/>
    <w:semiHidden/>
    <w:pPr>
      <w:tabs>
        <w:tab w:val="left" w:leader="dot" w:pos="9000"/>
        <w:tab w:val="right" w:pos="9360"/>
      </w:tabs>
      <w:suppressAutoHyphens/>
      <w:spacing w:before="480"/>
      <w:ind w:left="720" w:right="720" w:hanging="720"/>
    </w:pPr>
  </w:style>
  <w:style w:type="paragraph" w:styleId="Verzeichnis2">
    <w:name w:val="toc 2"/>
    <w:basedOn w:val="Standard"/>
    <w:next w:val="Standard"/>
    <w:semiHidden/>
    <w:pPr>
      <w:tabs>
        <w:tab w:val="left" w:leader="dot" w:pos="9000"/>
        <w:tab w:val="right" w:pos="9360"/>
      </w:tabs>
      <w:suppressAutoHyphens/>
      <w:ind w:left="1440" w:right="720" w:hanging="720"/>
    </w:pPr>
  </w:style>
  <w:style w:type="paragraph" w:styleId="Verzeichnis3">
    <w:name w:val="toc 3"/>
    <w:basedOn w:val="Standard"/>
    <w:next w:val="Standard"/>
    <w:semiHidden/>
    <w:pPr>
      <w:tabs>
        <w:tab w:val="left" w:leader="dot" w:pos="9000"/>
        <w:tab w:val="right" w:pos="9360"/>
      </w:tabs>
      <w:suppressAutoHyphens/>
      <w:ind w:left="2160" w:right="720" w:hanging="720"/>
    </w:pPr>
  </w:style>
  <w:style w:type="paragraph" w:styleId="Verzeichnis4">
    <w:name w:val="toc 4"/>
    <w:basedOn w:val="Standard"/>
    <w:next w:val="Standard"/>
    <w:semiHidden/>
    <w:pPr>
      <w:tabs>
        <w:tab w:val="left" w:leader="dot" w:pos="9000"/>
        <w:tab w:val="right" w:pos="9360"/>
      </w:tabs>
      <w:suppressAutoHyphens/>
      <w:ind w:left="2880" w:right="720" w:hanging="720"/>
    </w:pPr>
  </w:style>
  <w:style w:type="paragraph" w:styleId="Verzeichnis5">
    <w:name w:val="toc 5"/>
    <w:basedOn w:val="Standard"/>
    <w:next w:val="Standard"/>
    <w:semiHidden/>
    <w:pPr>
      <w:tabs>
        <w:tab w:val="left" w:leader="dot" w:pos="9000"/>
        <w:tab w:val="right" w:pos="9360"/>
      </w:tabs>
      <w:suppressAutoHyphens/>
      <w:ind w:left="3600" w:right="720" w:hanging="720"/>
    </w:pPr>
  </w:style>
  <w:style w:type="paragraph" w:styleId="Verzeichnis6">
    <w:name w:val="toc 6"/>
    <w:basedOn w:val="Standard"/>
    <w:next w:val="Standard"/>
    <w:semiHidden/>
    <w:pPr>
      <w:tabs>
        <w:tab w:val="left" w:pos="9000"/>
        <w:tab w:val="right" w:pos="9360"/>
      </w:tabs>
      <w:suppressAutoHyphens/>
      <w:ind w:left="720" w:hanging="720"/>
    </w:pPr>
  </w:style>
  <w:style w:type="paragraph" w:styleId="Verzeichnis7">
    <w:name w:val="toc 7"/>
    <w:basedOn w:val="Standard"/>
    <w:next w:val="Standard"/>
    <w:semiHidden/>
    <w:pPr>
      <w:suppressAutoHyphens/>
      <w:ind w:left="720" w:hanging="720"/>
    </w:pPr>
  </w:style>
  <w:style w:type="paragraph" w:styleId="Verzeichnis8">
    <w:name w:val="toc 8"/>
    <w:basedOn w:val="Standard"/>
    <w:next w:val="Standard"/>
    <w:semiHidden/>
    <w:pPr>
      <w:tabs>
        <w:tab w:val="left" w:pos="9000"/>
        <w:tab w:val="right" w:pos="9360"/>
      </w:tabs>
      <w:suppressAutoHyphens/>
      <w:ind w:left="720" w:hanging="720"/>
    </w:pPr>
  </w:style>
  <w:style w:type="paragraph" w:styleId="Verzeichnis9">
    <w:name w:val="toc 9"/>
    <w:basedOn w:val="Standard"/>
    <w:next w:val="Standard"/>
    <w:semiHidden/>
    <w:pPr>
      <w:tabs>
        <w:tab w:val="left" w:leader="dot" w:pos="9000"/>
        <w:tab w:val="right" w:pos="9360"/>
      </w:tabs>
      <w:suppressAutoHyphens/>
      <w:ind w:left="720" w:hanging="720"/>
    </w:pPr>
  </w:style>
  <w:style w:type="paragraph" w:styleId="Index1">
    <w:name w:val="index 1"/>
    <w:basedOn w:val="Standard"/>
    <w:next w:val="Standard"/>
    <w:semiHidden/>
    <w:pPr>
      <w:tabs>
        <w:tab w:val="left" w:leader="dot" w:pos="9000"/>
        <w:tab w:val="right" w:pos="9360"/>
      </w:tabs>
      <w:suppressAutoHyphens/>
      <w:ind w:left="1440" w:right="720" w:hanging="1440"/>
    </w:pPr>
  </w:style>
  <w:style w:type="paragraph" w:styleId="Index2">
    <w:name w:val="index 2"/>
    <w:basedOn w:val="Standard"/>
    <w:next w:val="Standard"/>
    <w:semiHidden/>
    <w:pPr>
      <w:tabs>
        <w:tab w:val="left" w:leader="dot" w:pos="9000"/>
        <w:tab w:val="right" w:pos="9360"/>
      </w:tabs>
      <w:suppressAutoHyphens/>
      <w:ind w:left="1440" w:right="720" w:hanging="720"/>
    </w:pPr>
  </w:style>
  <w:style w:type="paragraph" w:customStyle="1" w:styleId="toa">
    <w:name w:val="toa"/>
    <w:basedOn w:val="Standard"/>
    <w:pPr>
      <w:tabs>
        <w:tab w:val="left" w:pos="9000"/>
        <w:tab w:val="right" w:pos="9360"/>
      </w:tabs>
      <w:suppressAutoHyphens/>
    </w:p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1065</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Spültischabdeckung</vt:lpstr>
    </vt:vector>
  </TitlesOfParts>
  <Company>B.PRO</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Spültischabdeckung</dc:title>
  <dc:subject/>
  <dc:creator>B.PRO</dc:creator>
  <cp:keywords/>
  <cp:lastModifiedBy>DayWorker S.</cp:lastModifiedBy>
  <cp:revision>2</cp:revision>
  <cp:lastPrinted>2005-08-02T08:48:00Z</cp:lastPrinted>
  <dcterms:created xsi:type="dcterms:W3CDTF">2021-09-25T18:45:00Z</dcterms:created>
  <dcterms:modified xsi:type="dcterms:W3CDTF">2021-09-25T18:45:00Z</dcterms:modified>
</cp:coreProperties>
</file>